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F0" w:rsidRPr="00AB18B0" w:rsidRDefault="00493CF0" w:rsidP="002F1994">
      <w:pPr>
        <w:spacing w:line="560" w:lineRule="exact"/>
        <w:jc w:val="center"/>
        <w:rPr>
          <w:rFonts w:ascii="方正小标宋简体" w:eastAsia="方正小标宋简体" w:hAnsi="宋体"/>
          <w:sz w:val="44"/>
          <w:szCs w:val="44"/>
        </w:rPr>
      </w:pPr>
      <w:r w:rsidRPr="00AB18B0">
        <w:rPr>
          <w:rFonts w:ascii="方正小标宋简体" w:eastAsia="方正小标宋简体" w:hAnsi="宋体" w:hint="eastAsia"/>
          <w:sz w:val="44"/>
          <w:szCs w:val="44"/>
        </w:rPr>
        <w:t>衢州学院“阳光长跑”实施细则</w:t>
      </w:r>
    </w:p>
    <w:p w:rsidR="00493CF0" w:rsidRDefault="00493CF0" w:rsidP="00493CF0">
      <w:pPr>
        <w:spacing w:line="560" w:lineRule="exact"/>
        <w:ind w:firstLineChars="200" w:firstLine="560"/>
        <w:jc w:val="center"/>
        <w:rPr>
          <w:rFonts w:ascii="宋体" w:hAnsi="宋体"/>
          <w:sz w:val="28"/>
          <w:szCs w:val="28"/>
        </w:rPr>
      </w:pP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为了培养学生良好的体育锻炼习惯，促进学生体质健康水平的提高，实现学生终身体育意识的养成，根据教育部、国家体育总局关于贯彻实施《教育部国家体育总局共青团中央关于开展全国亿万学生阳光体育运动的通知》（教体艺</w:t>
      </w:r>
      <w:r>
        <w:rPr>
          <w:rFonts w:ascii="仿宋_GB2312" w:eastAsia="仿宋_GB2312" w:hAnsi="宋体" w:hint="eastAsia"/>
          <w:sz w:val="32"/>
        </w:rPr>
        <w:t>〔2006</w:t>
      </w:r>
      <w:r>
        <w:rPr>
          <w:rFonts w:ascii="仿宋_GB2312" w:eastAsia="仿宋_GB2312" w:hAnsi="宋体"/>
          <w:sz w:val="32"/>
        </w:rPr>
        <w:t>〕</w:t>
      </w:r>
      <w:r w:rsidRPr="00AB18B0">
        <w:rPr>
          <w:rFonts w:ascii="仿宋_GB2312" w:eastAsia="仿宋_GB2312" w:hAnsi="宋体" w:hint="eastAsia"/>
          <w:sz w:val="32"/>
          <w:szCs w:val="32"/>
        </w:rPr>
        <w:t>6号）、《衢州学院关于印发阳光体育运动实施方案的通知》（衢院体</w:t>
      </w:r>
      <w:r>
        <w:rPr>
          <w:rFonts w:ascii="仿宋_GB2312" w:eastAsia="仿宋_GB2312" w:hAnsi="宋体" w:hint="eastAsia"/>
          <w:sz w:val="32"/>
        </w:rPr>
        <w:t>〔2014</w:t>
      </w:r>
      <w:r>
        <w:rPr>
          <w:rFonts w:ascii="仿宋_GB2312" w:eastAsia="仿宋_GB2312" w:hAnsi="宋体"/>
          <w:sz w:val="32"/>
        </w:rPr>
        <w:t>〕</w:t>
      </w:r>
      <w:r w:rsidRPr="00AB18B0">
        <w:rPr>
          <w:rFonts w:ascii="仿宋_GB2312" w:eastAsia="仿宋_GB2312" w:hAnsi="宋体" w:hint="eastAsia"/>
          <w:sz w:val="32"/>
          <w:szCs w:val="32"/>
        </w:rPr>
        <w:t>1号）文件的精神，结合我校学生体质健康状况，特制定本实施方案。</w:t>
      </w:r>
    </w:p>
    <w:p w:rsidR="00493CF0" w:rsidRPr="00AB18B0" w:rsidRDefault="00493CF0" w:rsidP="00493CF0">
      <w:pPr>
        <w:spacing w:line="560" w:lineRule="exact"/>
        <w:ind w:firstLineChars="200" w:firstLine="640"/>
        <w:rPr>
          <w:rFonts w:ascii="黑体" w:eastAsia="黑体" w:hAnsi="宋体"/>
          <w:sz w:val="32"/>
          <w:szCs w:val="32"/>
        </w:rPr>
      </w:pPr>
      <w:r w:rsidRPr="00AB18B0">
        <w:rPr>
          <w:rFonts w:ascii="黑体" w:eastAsia="黑体" w:hAnsi="宋体" w:hint="eastAsia"/>
          <w:sz w:val="32"/>
          <w:szCs w:val="32"/>
        </w:rPr>
        <w:t>一、“阳光长跑”对象与时间</w:t>
      </w:r>
    </w:p>
    <w:p w:rsidR="00493CF0" w:rsidRPr="00493CF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1.</w:t>
      </w:r>
      <w:r>
        <w:rPr>
          <w:rFonts w:ascii="仿宋_GB2312" w:eastAsia="仿宋_GB2312" w:hAnsi="宋体" w:hint="eastAsia"/>
          <w:sz w:val="32"/>
          <w:szCs w:val="32"/>
        </w:rPr>
        <w:t>“阳光长跑”对象：</w:t>
      </w:r>
      <w:r w:rsidRPr="00AB18B0">
        <w:rPr>
          <w:rFonts w:ascii="仿宋_GB2312" w:eastAsia="仿宋_GB2312" w:hAnsi="宋体" w:hint="eastAsia"/>
          <w:sz w:val="32"/>
          <w:szCs w:val="32"/>
        </w:rPr>
        <w:t>在籍大一、</w:t>
      </w:r>
      <w:r w:rsidRPr="00493CF0">
        <w:rPr>
          <w:rFonts w:ascii="仿宋_GB2312" w:eastAsia="仿宋_GB2312" w:hAnsi="宋体" w:hint="eastAsia"/>
          <w:sz w:val="32"/>
          <w:szCs w:val="32"/>
        </w:rPr>
        <w:t>大二全体学生，大三本科生。</w:t>
      </w:r>
    </w:p>
    <w:p w:rsidR="00493CF0" w:rsidRPr="00AB18B0" w:rsidRDefault="00493CF0" w:rsidP="00493CF0">
      <w:pPr>
        <w:spacing w:line="560" w:lineRule="exact"/>
        <w:ind w:firstLineChars="200" w:firstLine="640"/>
        <w:rPr>
          <w:rFonts w:ascii="仿宋_GB2312" w:eastAsia="仿宋_GB2312" w:hAnsi="宋体"/>
          <w:sz w:val="32"/>
          <w:szCs w:val="32"/>
        </w:rPr>
      </w:pPr>
      <w:r w:rsidRPr="00493CF0">
        <w:rPr>
          <w:rFonts w:ascii="仿宋_GB2312" w:eastAsia="仿宋_GB2312" w:hAnsi="宋体" w:hint="eastAsia"/>
          <w:sz w:val="32"/>
          <w:szCs w:val="32"/>
        </w:rPr>
        <w:t>2.“阳光长跑”时间：每学期第3—16周（共14周）。</w:t>
      </w:r>
    </w:p>
    <w:p w:rsidR="00493CF0" w:rsidRPr="00AB18B0" w:rsidRDefault="00493CF0" w:rsidP="00493CF0">
      <w:pPr>
        <w:spacing w:line="560" w:lineRule="exact"/>
        <w:ind w:left="561" w:firstLineChars="200" w:firstLine="640"/>
        <w:rPr>
          <w:rFonts w:ascii="仿宋_GB2312" w:eastAsia="仿宋_GB2312" w:hAnsi="宋体"/>
          <w:sz w:val="32"/>
          <w:szCs w:val="32"/>
        </w:rPr>
      </w:pPr>
      <w:r w:rsidRPr="00AB18B0">
        <w:rPr>
          <w:rFonts w:ascii="仿宋_GB2312" w:eastAsia="仿宋_GB2312" w:hAnsi="宋体" w:hint="eastAsia"/>
          <w:sz w:val="32"/>
          <w:szCs w:val="32"/>
        </w:rPr>
        <w:t>每天具体时间段分别为：</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周一至周五： 6：00—7：</w:t>
      </w:r>
      <w:r>
        <w:rPr>
          <w:rFonts w:ascii="仿宋_GB2312" w:eastAsia="仿宋_GB2312" w:hAnsi="宋体" w:hint="eastAsia"/>
          <w:sz w:val="32"/>
          <w:szCs w:val="32"/>
        </w:rPr>
        <w:t>45 ；</w:t>
      </w:r>
      <w:r w:rsidRPr="00AB18B0">
        <w:rPr>
          <w:rFonts w:ascii="仿宋_GB2312" w:eastAsia="仿宋_GB2312" w:hAnsi="宋体" w:hint="eastAsia"/>
          <w:sz w:val="32"/>
          <w:szCs w:val="32"/>
        </w:rPr>
        <w:t>16：30—19：00（夏季）</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 xml:space="preserve">             6：30—8：</w:t>
      </w:r>
      <w:r>
        <w:rPr>
          <w:rFonts w:ascii="仿宋_GB2312" w:eastAsia="仿宋_GB2312" w:hAnsi="宋体" w:hint="eastAsia"/>
          <w:sz w:val="32"/>
          <w:szCs w:val="32"/>
        </w:rPr>
        <w:t>00 ；</w:t>
      </w:r>
      <w:r w:rsidRPr="00AB18B0">
        <w:rPr>
          <w:rFonts w:ascii="仿宋_GB2312" w:eastAsia="仿宋_GB2312" w:hAnsi="宋体" w:hint="eastAsia"/>
          <w:sz w:val="32"/>
          <w:szCs w:val="32"/>
        </w:rPr>
        <w:t>15：30—18：00（冬季）</w:t>
      </w:r>
    </w:p>
    <w:p w:rsidR="00493CF0" w:rsidRPr="00493CF0" w:rsidRDefault="00493CF0" w:rsidP="00493CF0">
      <w:pPr>
        <w:spacing w:line="560" w:lineRule="exact"/>
        <w:ind w:firstLineChars="200" w:firstLine="640"/>
        <w:rPr>
          <w:rFonts w:ascii="仿宋_GB2312" w:eastAsia="仿宋_GB2312" w:hAnsi="宋体"/>
          <w:sz w:val="32"/>
          <w:szCs w:val="32"/>
        </w:rPr>
      </w:pPr>
      <w:r w:rsidRPr="00493CF0">
        <w:rPr>
          <w:rFonts w:ascii="仿宋_GB2312" w:eastAsia="仿宋_GB2312" w:hAnsi="宋体" w:hint="eastAsia"/>
          <w:sz w:val="32"/>
          <w:szCs w:val="32"/>
        </w:rPr>
        <w:t>周六、周日： 16：30—19：00（夏季）</w:t>
      </w:r>
    </w:p>
    <w:p w:rsidR="00493CF0" w:rsidRPr="00493CF0" w:rsidRDefault="00493CF0" w:rsidP="00493CF0">
      <w:pPr>
        <w:spacing w:line="560" w:lineRule="exact"/>
        <w:ind w:firstLineChars="850" w:firstLine="2720"/>
        <w:rPr>
          <w:rFonts w:ascii="仿宋_GB2312" w:eastAsia="仿宋_GB2312" w:hAnsi="宋体"/>
          <w:sz w:val="32"/>
          <w:szCs w:val="32"/>
        </w:rPr>
      </w:pPr>
      <w:r w:rsidRPr="00493CF0">
        <w:rPr>
          <w:rFonts w:ascii="仿宋_GB2312" w:eastAsia="仿宋_GB2312" w:hAnsi="宋体" w:hint="eastAsia"/>
          <w:sz w:val="32"/>
          <w:szCs w:val="32"/>
        </w:rPr>
        <w:t>15：30—18：00（冬季）</w:t>
      </w:r>
    </w:p>
    <w:p w:rsidR="00493CF0" w:rsidRPr="00AB18B0" w:rsidRDefault="00493CF0" w:rsidP="00493CF0">
      <w:pPr>
        <w:spacing w:line="560" w:lineRule="exact"/>
        <w:ind w:firstLineChars="200" w:firstLine="640"/>
        <w:rPr>
          <w:rFonts w:ascii="黑体" w:eastAsia="黑体" w:hAnsi="宋体"/>
          <w:sz w:val="32"/>
          <w:szCs w:val="32"/>
        </w:rPr>
      </w:pPr>
      <w:r w:rsidRPr="00AB18B0">
        <w:rPr>
          <w:rFonts w:ascii="黑体" w:eastAsia="黑体" w:hAnsi="宋体" w:hint="eastAsia"/>
          <w:sz w:val="32"/>
          <w:szCs w:val="32"/>
        </w:rPr>
        <w:t>二、“阳光长跑”打卡点、流程及要求</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1.“阳光长跑”打卡点：A点：见贤路（体育馆西侧）</w:t>
      </w:r>
    </w:p>
    <w:p w:rsidR="00493CF0" w:rsidRPr="00AB18B0" w:rsidRDefault="00493CF0" w:rsidP="00493CF0">
      <w:pPr>
        <w:spacing w:line="560" w:lineRule="exact"/>
        <w:ind w:firstLineChars="1150" w:firstLine="3680"/>
        <w:rPr>
          <w:rFonts w:ascii="仿宋_GB2312" w:eastAsia="仿宋_GB2312" w:hAnsi="宋体"/>
          <w:sz w:val="32"/>
          <w:szCs w:val="32"/>
        </w:rPr>
      </w:pPr>
      <w:r w:rsidRPr="00AB18B0">
        <w:rPr>
          <w:rFonts w:ascii="仿宋_GB2312" w:eastAsia="仿宋_GB2312" w:hAnsi="宋体" w:hint="eastAsia"/>
          <w:sz w:val="32"/>
          <w:szCs w:val="32"/>
        </w:rPr>
        <w:t>B点：柯山路（田径场看台西侧）</w:t>
      </w:r>
    </w:p>
    <w:p w:rsidR="00493CF0" w:rsidRPr="00AB18B0" w:rsidRDefault="00493CF0" w:rsidP="00493CF0">
      <w:pPr>
        <w:spacing w:line="560" w:lineRule="exact"/>
        <w:ind w:firstLineChars="1150" w:firstLine="3680"/>
        <w:rPr>
          <w:rFonts w:ascii="仿宋_GB2312" w:eastAsia="仿宋_GB2312" w:hAnsi="宋体"/>
          <w:sz w:val="32"/>
          <w:szCs w:val="32"/>
        </w:rPr>
      </w:pPr>
      <w:r w:rsidRPr="00AB18B0">
        <w:rPr>
          <w:rFonts w:ascii="仿宋_GB2312" w:eastAsia="仿宋_GB2312" w:hAnsi="宋体" w:hint="eastAsia"/>
          <w:sz w:val="32"/>
          <w:szCs w:val="32"/>
        </w:rPr>
        <w:t>C点：学而路（行政楼北侧）</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A←→B距离为</w:t>
      </w:r>
      <w:smartTag w:uri="urn:schemas-microsoft-com:office:smarttags" w:element="chmetcnv">
        <w:smartTagPr>
          <w:attr w:name="UnitName" w:val="米"/>
          <w:attr w:name="SourceValue" w:val="350"/>
          <w:attr w:name="HasSpace" w:val="False"/>
          <w:attr w:name="Negative" w:val="False"/>
          <w:attr w:name="NumberType" w:val="1"/>
          <w:attr w:name="TCSC" w:val="0"/>
        </w:smartTagPr>
        <w:r w:rsidRPr="00AB18B0">
          <w:rPr>
            <w:rFonts w:ascii="仿宋_GB2312" w:eastAsia="仿宋_GB2312" w:hAnsi="宋体" w:hint="eastAsia"/>
            <w:sz w:val="32"/>
            <w:szCs w:val="32"/>
          </w:rPr>
          <w:t>350米</w:t>
        </w:r>
      </w:smartTag>
      <w:r w:rsidRPr="00AB18B0">
        <w:rPr>
          <w:rFonts w:ascii="仿宋_GB2312" w:eastAsia="仿宋_GB2312" w:hAnsi="宋体" w:hint="eastAsia"/>
          <w:sz w:val="32"/>
          <w:szCs w:val="32"/>
        </w:rPr>
        <w:t>；B←→C距离为</w:t>
      </w:r>
      <w:smartTag w:uri="urn:schemas-microsoft-com:office:smarttags" w:element="chmetcnv">
        <w:smartTagPr>
          <w:attr w:name="UnitName" w:val="米"/>
          <w:attr w:name="SourceValue" w:val="520"/>
          <w:attr w:name="HasSpace" w:val="False"/>
          <w:attr w:name="Negative" w:val="False"/>
          <w:attr w:name="NumberType" w:val="1"/>
          <w:attr w:name="TCSC" w:val="0"/>
        </w:smartTagPr>
        <w:r w:rsidRPr="00AB18B0">
          <w:rPr>
            <w:rFonts w:ascii="仿宋_GB2312" w:eastAsia="仿宋_GB2312" w:hAnsi="宋体" w:hint="eastAsia"/>
            <w:sz w:val="32"/>
            <w:szCs w:val="32"/>
          </w:rPr>
          <w:t>520米</w:t>
        </w:r>
      </w:smartTag>
      <w:r w:rsidRPr="00AB18B0">
        <w:rPr>
          <w:rFonts w:ascii="仿宋_GB2312" w:eastAsia="仿宋_GB2312" w:hAnsi="宋体" w:hint="eastAsia"/>
          <w:sz w:val="32"/>
          <w:szCs w:val="32"/>
        </w:rPr>
        <w:t>； A←→C距离</w:t>
      </w:r>
      <w:r w:rsidRPr="00AB18B0">
        <w:rPr>
          <w:rFonts w:ascii="仿宋_GB2312" w:eastAsia="仿宋_GB2312" w:hAnsi="宋体" w:hint="eastAsia"/>
          <w:sz w:val="32"/>
          <w:szCs w:val="32"/>
        </w:rPr>
        <w:lastRenderedPageBreak/>
        <w:t>为</w:t>
      </w:r>
      <w:smartTag w:uri="urn:schemas-microsoft-com:office:smarttags" w:element="chmetcnv">
        <w:smartTagPr>
          <w:attr w:name="UnitName" w:val="米"/>
          <w:attr w:name="SourceValue" w:val="750"/>
          <w:attr w:name="HasSpace" w:val="False"/>
          <w:attr w:name="Negative" w:val="False"/>
          <w:attr w:name="NumberType" w:val="1"/>
          <w:attr w:name="TCSC" w:val="0"/>
        </w:smartTagPr>
        <w:r w:rsidRPr="00AB18B0">
          <w:rPr>
            <w:rFonts w:ascii="仿宋_GB2312" w:eastAsia="仿宋_GB2312" w:hAnsi="宋体" w:hint="eastAsia"/>
            <w:sz w:val="32"/>
            <w:szCs w:val="32"/>
          </w:rPr>
          <w:t>750米</w:t>
        </w:r>
      </w:smartTag>
      <w:r w:rsidRPr="00AB18B0">
        <w:rPr>
          <w:rFonts w:ascii="仿宋_GB2312" w:eastAsia="仿宋_GB2312" w:hAnsi="宋体" w:hint="eastAsia"/>
          <w:sz w:val="32"/>
          <w:szCs w:val="32"/>
        </w:rPr>
        <w:t>。学生每次跑步可选择任意打卡点为起始点。</w:t>
      </w:r>
    </w:p>
    <w:p w:rsidR="00493CF0" w:rsidRPr="00AB18B0" w:rsidRDefault="00493CF0" w:rsidP="00493CF0">
      <w:pPr>
        <w:spacing w:line="560" w:lineRule="exact"/>
        <w:ind w:firstLineChars="200" w:firstLine="640"/>
        <w:rPr>
          <w:rFonts w:ascii="仿宋_GB2312" w:eastAsia="仿宋_GB2312" w:hAnsi="宋体" w:cs="宋体"/>
          <w:kern w:val="0"/>
          <w:sz w:val="32"/>
          <w:szCs w:val="32"/>
        </w:rPr>
      </w:pPr>
      <w:r w:rsidRPr="00AB18B0">
        <w:rPr>
          <w:rFonts w:ascii="仿宋_GB2312" w:eastAsia="仿宋_GB2312" w:hAnsi="宋体" w:hint="eastAsia"/>
          <w:sz w:val="32"/>
          <w:szCs w:val="32"/>
        </w:rPr>
        <w:t>2.“阳光长跑”</w:t>
      </w:r>
      <w:r w:rsidRPr="00AB18B0">
        <w:rPr>
          <w:rFonts w:ascii="仿宋_GB2312" w:eastAsia="仿宋_GB2312" w:hAnsi="宋体" w:cs="宋体" w:hint="eastAsia"/>
          <w:kern w:val="0"/>
          <w:sz w:val="32"/>
          <w:szCs w:val="32"/>
        </w:rPr>
        <w:t>打卡流程：</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到达监测点→刷一卡通→通过认证→到达下一个监测点</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3.“阳光长跑”要求：</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“阳光长跑”次数：</w:t>
      </w:r>
      <w:r>
        <w:rPr>
          <w:rFonts w:ascii="仿宋_GB2312" w:eastAsia="仿宋_GB2312" w:hAnsi="宋体" w:hint="eastAsia"/>
          <w:sz w:val="32"/>
          <w:szCs w:val="32"/>
        </w:rPr>
        <w:t>建议</w:t>
      </w:r>
      <w:r w:rsidRPr="00AB18B0">
        <w:rPr>
          <w:rFonts w:ascii="仿宋_GB2312" w:eastAsia="仿宋_GB2312" w:hAnsi="宋体" w:hint="eastAsia"/>
          <w:sz w:val="32"/>
          <w:szCs w:val="32"/>
        </w:rPr>
        <w:t>每周至少2次，每天最多一次。</w:t>
      </w:r>
      <w:r w:rsidRPr="00493CF0">
        <w:rPr>
          <w:rFonts w:ascii="仿宋_GB2312" w:eastAsia="仿宋_GB2312" w:hAnsi="宋体" w:hint="eastAsia"/>
          <w:sz w:val="32"/>
          <w:szCs w:val="32"/>
        </w:rPr>
        <w:t>每学期40次及以上为优秀，</w:t>
      </w:r>
      <w:r w:rsidRPr="00AB18B0">
        <w:rPr>
          <w:rFonts w:ascii="仿宋_GB2312" w:eastAsia="仿宋_GB2312" w:hAnsi="宋体" w:hint="eastAsia"/>
          <w:sz w:val="32"/>
          <w:szCs w:val="32"/>
        </w:rPr>
        <w:t>24次为及格，24次以下为不及格。</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“阳光长跑”距离：每次女生至少1500米；男生至少2000米。未达规定距离，不计该次有效次数。</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“阳光长跑”速度：每次女生跑步平均速度为</w:t>
      </w:r>
      <w:r w:rsidRPr="00493CF0">
        <w:rPr>
          <w:rFonts w:ascii="仿宋_GB2312" w:eastAsia="仿宋_GB2312" w:hAnsi="宋体" w:hint="eastAsia"/>
          <w:sz w:val="32"/>
          <w:szCs w:val="32"/>
        </w:rPr>
        <w:t>1.8—5m/s；</w:t>
      </w:r>
      <w:r w:rsidRPr="00AB18B0">
        <w:rPr>
          <w:rFonts w:ascii="仿宋_GB2312" w:eastAsia="仿宋_GB2312" w:hAnsi="宋体" w:hint="eastAsia"/>
          <w:sz w:val="32"/>
          <w:szCs w:val="32"/>
        </w:rPr>
        <w:t>男生跑步平均速度</w:t>
      </w:r>
      <w:r w:rsidRPr="00493CF0">
        <w:rPr>
          <w:rFonts w:ascii="仿宋_GB2312" w:eastAsia="仿宋_GB2312" w:hAnsi="宋体" w:hint="eastAsia"/>
          <w:sz w:val="32"/>
          <w:szCs w:val="32"/>
        </w:rPr>
        <w:t>2.3—5m/s。未</w:t>
      </w:r>
      <w:r w:rsidRPr="00AB18B0">
        <w:rPr>
          <w:rFonts w:ascii="仿宋_GB2312" w:eastAsia="仿宋_GB2312" w:hAnsi="宋体" w:hint="eastAsia"/>
          <w:sz w:val="32"/>
          <w:szCs w:val="32"/>
        </w:rPr>
        <w:t>达规定速度范围，不计该次有效次数。</w:t>
      </w:r>
    </w:p>
    <w:p w:rsidR="00493CF0" w:rsidRPr="00AB18B0" w:rsidRDefault="00493CF0" w:rsidP="00493CF0">
      <w:pPr>
        <w:spacing w:line="560" w:lineRule="exact"/>
        <w:ind w:firstLineChars="200" w:firstLine="640"/>
        <w:rPr>
          <w:rFonts w:ascii="黑体" w:eastAsia="黑体" w:hAnsi="宋体"/>
          <w:sz w:val="32"/>
          <w:szCs w:val="32"/>
        </w:rPr>
      </w:pPr>
      <w:r w:rsidRPr="00AB18B0">
        <w:rPr>
          <w:rFonts w:ascii="黑体" w:eastAsia="黑体" w:hAnsi="宋体" w:hint="eastAsia"/>
          <w:sz w:val="32"/>
          <w:szCs w:val="32"/>
        </w:rPr>
        <w:t>三、“阳光长跑”与体育课成绩及学生评奖评优相关规定</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1．根据国家教育部关于贯彻实施《高等学校体育工作基本标准》（教体艺〔2014〕4号）文件的精神，将“阳光长跑”纳入体育课程评价体系，鼓励学生积极进行课外体育锻炼。</w:t>
      </w:r>
    </w:p>
    <w:p w:rsidR="00493CF0" w:rsidRPr="002F1994" w:rsidRDefault="00493CF0" w:rsidP="002F1994">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“阳光长跑”成绩计入学生体育课堂成绩，占体育课成绩的20%，共计20分。</w:t>
      </w:r>
    </w:p>
    <w:p w:rsidR="00493CF0" w:rsidRDefault="00493CF0" w:rsidP="00493CF0">
      <w:pPr>
        <w:ind w:firstLineChars="200" w:firstLine="640"/>
        <w:jc w:val="center"/>
        <w:rPr>
          <w:rFonts w:ascii="宋体" w:hAnsi="宋体"/>
          <w:sz w:val="32"/>
          <w:szCs w:val="32"/>
        </w:rPr>
      </w:pPr>
      <w:r w:rsidRPr="003E1BED">
        <w:rPr>
          <w:rFonts w:ascii="宋体" w:hAnsi="宋体" w:hint="eastAsia"/>
          <w:sz w:val="32"/>
          <w:szCs w:val="32"/>
        </w:rPr>
        <w:t>表一 基准次数折算成绩标准</w:t>
      </w:r>
    </w:p>
    <w:tbl>
      <w:tblPr>
        <w:tblStyle w:va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67"/>
        <w:gridCol w:w="456"/>
        <w:gridCol w:w="566"/>
        <w:gridCol w:w="566"/>
        <w:gridCol w:w="566"/>
        <w:gridCol w:w="566"/>
        <w:gridCol w:w="566"/>
        <w:gridCol w:w="566"/>
        <w:gridCol w:w="566"/>
        <w:gridCol w:w="1171"/>
      </w:tblGrid>
      <w:tr w:rsidR="00493CF0" w:rsidRPr="00E3637B" w:rsidTr="00F20812">
        <w:trPr>
          <w:jc w:val="center"/>
        </w:trPr>
        <w:tc>
          <w:tcPr>
            <w:tcW w:w="675" w:type="dxa"/>
            <w:vAlign w:val="center"/>
          </w:tcPr>
          <w:p w:rsidR="00493CF0" w:rsidRPr="00DF550D" w:rsidRDefault="00493CF0" w:rsidP="00F20812">
            <w:pPr>
              <w:rPr>
                <w:rFonts w:ascii="宋体" w:hAnsi="宋体" w:cs="宋体"/>
                <w:sz w:val="22"/>
                <w:szCs w:val="22"/>
              </w:rPr>
            </w:pPr>
            <w:r w:rsidRPr="00DF550D">
              <w:rPr>
                <w:rFonts w:hint="eastAsia"/>
                <w:sz w:val="22"/>
                <w:szCs w:val="22"/>
              </w:rPr>
              <w:t>次数</w:t>
            </w:r>
          </w:p>
        </w:tc>
        <w:tc>
          <w:tcPr>
            <w:tcW w:w="567"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40</w:t>
            </w:r>
          </w:p>
        </w:tc>
        <w:tc>
          <w:tcPr>
            <w:tcW w:w="45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38</w:t>
            </w:r>
          </w:p>
        </w:tc>
        <w:tc>
          <w:tcPr>
            <w:tcW w:w="56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36</w:t>
            </w:r>
          </w:p>
        </w:tc>
        <w:tc>
          <w:tcPr>
            <w:tcW w:w="56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34</w:t>
            </w:r>
          </w:p>
        </w:tc>
        <w:tc>
          <w:tcPr>
            <w:tcW w:w="56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32</w:t>
            </w:r>
          </w:p>
        </w:tc>
        <w:tc>
          <w:tcPr>
            <w:tcW w:w="56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30</w:t>
            </w:r>
          </w:p>
        </w:tc>
        <w:tc>
          <w:tcPr>
            <w:tcW w:w="56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28</w:t>
            </w:r>
          </w:p>
        </w:tc>
        <w:tc>
          <w:tcPr>
            <w:tcW w:w="56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26</w:t>
            </w:r>
          </w:p>
        </w:tc>
        <w:tc>
          <w:tcPr>
            <w:tcW w:w="56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24</w:t>
            </w:r>
          </w:p>
        </w:tc>
        <w:tc>
          <w:tcPr>
            <w:tcW w:w="1171" w:type="dxa"/>
            <w:vAlign w:val="center"/>
          </w:tcPr>
          <w:p w:rsidR="00493CF0" w:rsidRPr="00DF550D" w:rsidRDefault="00493CF0" w:rsidP="00F20812">
            <w:pPr>
              <w:jc w:val="center"/>
              <w:rPr>
                <w:rFonts w:ascii="宋体" w:hAnsi="宋体" w:cs="宋体"/>
                <w:sz w:val="22"/>
                <w:szCs w:val="22"/>
              </w:rPr>
            </w:pPr>
            <w:r w:rsidRPr="00DF550D">
              <w:rPr>
                <w:rFonts w:hint="eastAsia"/>
                <w:sz w:val="22"/>
                <w:szCs w:val="22"/>
              </w:rPr>
              <w:t>2</w:t>
            </w:r>
            <w:r>
              <w:rPr>
                <w:rFonts w:hint="eastAsia"/>
                <w:sz w:val="22"/>
                <w:szCs w:val="22"/>
              </w:rPr>
              <w:t>3</w:t>
            </w:r>
            <w:r>
              <w:rPr>
                <w:rFonts w:hint="eastAsia"/>
                <w:sz w:val="22"/>
                <w:szCs w:val="22"/>
              </w:rPr>
              <w:t>及以下</w:t>
            </w:r>
          </w:p>
        </w:tc>
      </w:tr>
      <w:tr w:rsidR="00493CF0" w:rsidRPr="00E3637B" w:rsidTr="00F20812">
        <w:trPr>
          <w:jc w:val="center"/>
        </w:trPr>
        <w:tc>
          <w:tcPr>
            <w:tcW w:w="675" w:type="dxa"/>
            <w:vAlign w:val="center"/>
          </w:tcPr>
          <w:p w:rsidR="00493CF0" w:rsidRPr="00DF550D" w:rsidRDefault="00493CF0" w:rsidP="00F20812">
            <w:pPr>
              <w:rPr>
                <w:rFonts w:ascii="宋体" w:hAnsi="宋体" w:cs="宋体"/>
                <w:sz w:val="22"/>
                <w:szCs w:val="22"/>
              </w:rPr>
            </w:pPr>
            <w:r w:rsidRPr="00DF550D">
              <w:rPr>
                <w:rFonts w:hint="eastAsia"/>
                <w:sz w:val="22"/>
                <w:szCs w:val="22"/>
              </w:rPr>
              <w:t>阳光长跑成绩</w:t>
            </w:r>
          </w:p>
        </w:tc>
        <w:tc>
          <w:tcPr>
            <w:tcW w:w="567"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100</w:t>
            </w:r>
          </w:p>
        </w:tc>
        <w:tc>
          <w:tcPr>
            <w:tcW w:w="45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95</w:t>
            </w:r>
          </w:p>
        </w:tc>
        <w:tc>
          <w:tcPr>
            <w:tcW w:w="56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90</w:t>
            </w:r>
          </w:p>
        </w:tc>
        <w:tc>
          <w:tcPr>
            <w:tcW w:w="56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85</w:t>
            </w:r>
          </w:p>
        </w:tc>
        <w:tc>
          <w:tcPr>
            <w:tcW w:w="56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80</w:t>
            </w:r>
          </w:p>
        </w:tc>
        <w:tc>
          <w:tcPr>
            <w:tcW w:w="56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75</w:t>
            </w:r>
          </w:p>
        </w:tc>
        <w:tc>
          <w:tcPr>
            <w:tcW w:w="56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70</w:t>
            </w:r>
          </w:p>
        </w:tc>
        <w:tc>
          <w:tcPr>
            <w:tcW w:w="56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65</w:t>
            </w:r>
          </w:p>
        </w:tc>
        <w:tc>
          <w:tcPr>
            <w:tcW w:w="56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60</w:t>
            </w:r>
          </w:p>
        </w:tc>
        <w:tc>
          <w:tcPr>
            <w:tcW w:w="1171" w:type="dxa"/>
            <w:vAlign w:val="center"/>
          </w:tcPr>
          <w:p w:rsidR="00493CF0" w:rsidRPr="00DF550D" w:rsidRDefault="00493CF0" w:rsidP="00F20812">
            <w:pPr>
              <w:jc w:val="center"/>
              <w:rPr>
                <w:rFonts w:ascii="宋体" w:hAnsi="宋体" w:cs="宋体"/>
                <w:sz w:val="22"/>
                <w:szCs w:val="22"/>
              </w:rPr>
            </w:pPr>
            <w:r>
              <w:rPr>
                <w:rFonts w:hint="eastAsia"/>
                <w:sz w:val="22"/>
                <w:szCs w:val="22"/>
              </w:rPr>
              <w:t>0</w:t>
            </w:r>
          </w:p>
        </w:tc>
      </w:tr>
      <w:tr w:rsidR="00493CF0" w:rsidRPr="00E3637B" w:rsidTr="00F20812">
        <w:trPr>
          <w:jc w:val="center"/>
        </w:trPr>
        <w:tc>
          <w:tcPr>
            <w:tcW w:w="675" w:type="dxa"/>
            <w:vAlign w:val="center"/>
          </w:tcPr>
          <w:p w:rsidR="00493CF0" w:rsidRPr="00DF550D" w:rsidRDefault="00493CF0" w:rsidP="00F20812">
            <w:pPr>
              <w:rPr>
                <w:rFonts w:ascii="宋体" w:hAnsi="宋体" w:cs="宋体"/>
                <w:sz w:val="22"/>
                <w:szCs w:val="22"/>
              </w:rPr>
            </w:pPr>
            <w:r w:rsidRPr="00DF550D">
              <w:rPr>
                <w:rFonts w:hint="eastAsia"/>
                <w:sz w:val="22"/>
                <w:szCs w:val="22"/>
              </w:rPr>
              <w:t>体育课成绩</w:t>
            </w:r>
          </w:p>
        </w:tc>
        <w:tc>
          <w:tcPr>
            <w:tcW w:w="567"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20</w:t>
            </w:r>
          </w:p>
        </w:tc>
        <w:tc>
          <w:tcPr>
            <w:tcW w:w="45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19</w:t>
            </w:r>
          </w:p>
        </w:tc>
        <w:tc>
          <w:tcPr>
            <w:tcW w:w="56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18</w:t>
            </w:r>
          </w:p>
        </w:tc>
        <w:tc>
          <w:tcPr>
            <w:tcW w:w="56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17</w:t>
            </w:r>
          </w:p>
        </w:tc>
        <w:tc>
          <w:tcPr>
            <w:tcW w:w="56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16</w:t>
            </w:r>
          </w:p>
        </w:tc>
        <w:tc>
          <w:tcPr>
            <w:tcW w:w="56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15</w:t>
            </w:r>
          </w:p>
        </w:tc>
        <w:tc>
          <w:tcPr>
            <w:tcW w:w="56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14</w:t>
            </w:r>
          </w:p>
        </w:tc>
        <w:tc>
          <w:tcPr>
            <w:tcW w:w="56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13</w:t>
            </w:r>
          </w:p>
        </w:tc>
        <w:tc>
          <w:tcPr>
            <w:tcW w:w="566" w:type="dxa"/>
            <w:vAlign w:val="center"/>
          </w:tcPr>
          <w:p w:rsidR="00493CF0" w:rsidRPr="00DF550D" w:rsidRDefault="00493CF0" w:rsidP="00F20812">
            <w:pPr>
              <w:jc w:val="right"/>
              <w:rPr>
                <w:rFonts w:ascii="宋体" w:hAnsi="宋体" w:cs="宋体"/>
                <w:sz w:val="22"/>
                <w:szCs w:val="22"/>
              </w:rPr>
            </w:pPr>
            <w:r w:rsidRPr="00DF550D">
              <w:rPr>
                <w:rFonts w:hint="eastAsia"/>
                <w:sz w:val="22"/>
                <w:szCs w:val="22"/>
              </w:rPr>
              <w:t>12</w:t>
            </w:r>
          </w:p>
        </w:tc>
        <w:tc>
          <w:tcPr>
            <w:tcW w:w="1171" w:type="dxa"/>
            <w:vAlign w:val="center"/>
          </w:tcPr>
          <w:p w:rsidR="00493CF0" w:rsidRPr="00DF550D" w:rsidRDefault="00493CF0" w:rsidP="00F20812">
            <w:pPr>
              <w:jc w:val="center"/>
              <w:rPr>
                <w:rFonts w:ascii="宋体" w:hAnsi="宋体" w:cs="宋体"/>
                <w:sz w:val="22"/>
                <w:szCs w:val="22"/>
              </w:rPr>
            </w:pPr>
            <w:r>
              <w:rPr>
                <w:rFonts w:hint="eastAsia"/>
                <w:sz w:val="22"/>
                <w:szCs w:val="22"/>
              </w:rPr>
              <w:t>0</w:t>
            </w:r>
          </w:p>
        </w:tc>
      </w:tr>
    </w:tbl>
    <w:p w:rsidR="00493CF0" w:rsidRPr="003E1BED" w:rsidRDefault="00493CF0" w:rsidP="00493CF0">
      <w:pPr>
        <w:rPr>
          <w:rFonts w:ascii="宋体" w:hAnsi="宋体"/>
          <w:sz w:val="28"/>
          <w:szCs w:val="28"/>
          <w:u w:val="thick"/>
        </w:rPr>
      </w:pPr>
      <w:r>
        <w:rPr>
          <w:rFonts w:ascii="宋体" w:hAnsi="宋体" w:hint="eastAsia"/>
          <w:sz w:val="32"/>
          <w:szCs w:val="32"/>
        </w:rPr>
        <w:lastRenderedPageBreak/>
        <w:t xml:space="preserve">    </w:t>
      </w:r>
      <w:r w:rsidRPr="00AF0027">
        <w:rPr>
          <w:rFonts w:ascii="宋体" w:hAnsi="宋体" w:hint="eastAsia"/>
          <w:b/>
          <w:sz w:val="28"/>
          <w:szCs w:val="28"/>
        </w:rPr>
        <w:t>注：（1）该学期跑步次数≤10, 则该学期体育课不能参加考试，该学期体育课重修；</w:t>
      </w:r>
      <w:r w:rsidRPr="003E1BED">
        <w:rPr>
          <w:rFonts w:ascii="宋体" w:hAnsi="宋体" w:hint="eastAsia"/>
          <w:sz w:val="28"/>
          <w:szCs w:val="28"/>
        </w:rPr>
        <w:t>（2）该学期出现雨雪、雾霾天气，学校将记录天气情况。如出现连续雨雪、雾霾等特殊天气情况，学校对成绩标准及时做出调整。</w:t>
      </w:r>
    </w:p>
    <w:p w:rsidR="00493CF0" w:rsidRPr="0082363F" w:rsidRDefault="00493CF0" w:rsidP="00493CF0">
      <w:pPr>
        <w:spacing w:line="560" w:lineRule="exact"/>
        <w:ind w:firstLineChars="200" w:firstLine="640"/>
        <w:rPr>
          <w:rFonts w:ascii="仿宋_GB2312" w:eastAsia="仿宋_GB2312" w:hAnsi="宋体"/>
          <w:sz w:val="32"/>
          <w:szCs w:val="32"/>
        </w:rPr>
      </w:pPr>
      <w:r w:rsidRPr="0082363F">
        <w:rPr>
          <w:rFonts w:ascii="仿宋_GB2312" w:eastAsia="仿宋_GB2312" w:hAnsi="宋体" w:hint="eastAsia"/>
          <w:sz w:val="32"/>
          <w:szCs w:val="32"/>
        </w:rPr>
        <w:t>2．该学年学生“阳光长跑”平均成绩达到80分及以上者，方有资格参评三好学生、一等奖学金。</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3. 班级“阳光长跑”平均成绩将作为学校班风竞赛的评分依据。</w:t>
      </w:r>
    </w:p>
    <w:p w:rsidR="00493CF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4. 学校将对每月、每学期、每学年“阳光长跑”里程最长的十位同学给予表彰。</w:t>
      </w:r>
    </w:p>
    <w:p w:rsidR="00493CF0" w:rsidRPr="00493CF0" w:rsidRDefault="0004628B" w:rsidP="00493CF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sidR="002F1994">
        <w:rPr>
          <w:rFonts w:ascii="仿宋_GB2312" w:eastAsia="仿宋_GB2312" w:hAnsi="宋体" w:hint="eastAsia"/>
          <w:sz w:val="32"/>
          <w:szCs w:val="32"/>
        </w:rPr>
        <w:t>学校将对</w:t>
      </w:r>
      <w:r w:rsidR="00D46261">
        <w:rPr>
          <w:rFonts w:ascii="仿宋_GB2312" w:eastAsia="仿宋_GB2312" w:hAnsi="宋体" w:hint="eastAsia"/>
          <w:sz w:val="32"/>
          <w:szCs w:val="32"/>
        </w:rPr>
        <w:t>大三本科生</w:t>
      </w:r>
      <w:r w:rsidR="002F1994">
        <w:rPr>
          <w:rFonts w:ascii="仿宋_GB2312" w:eastAsia="仿宋_GB2312" w:hAnsi="宋体" w:hint="eastAsia"/>
          <w:sz w:val="32"/>
          <w:szCs w:val="32"/>
        </w:rPr>
        <w:t>每学期、每学年</w:t>
      </w:r>
      <w:r w:rsidR="00D46261">
        <w:rPr>
          <w:rFonts w:ascii="仿宋_GB2312" w:eastAsia="仿宋_GB2312" w:hAnsi="宋体" w:hint="eastAsia"/>
          <w:sz w:val="32"/>
          <w:szCs w:val="32"/>
        </w:rPr>
        <w:t xml:space="preserve"> </w:t>
      </w:r>
      <w:r w:rsidR="002F1994">
        <w:rPr>
          <w:rFonts w:ascii="仿宋_GB2312" w:eastAsia="仿宋_GB2312" w:hAnsi="宋体" w:hint="eastAsia"/>
          <w:sz w:val="32"/>
          <w:szCs w:val="32"/>
        </w:rPr>
        <w:t>“阳光长跑”跑步有效次数</w:t>
      </w:r>
      <w:r w:rsidR="000D1F24">
        <w:rPr>
          <w:rFonts w:ascii="仿宋_GB2312" w:eastAsia="仿宋_GB2312" w:hAnsi="宋体" w:hint="eastAsia"/>
          <w:sz w:val="32"/>
          <w:szCs w:val="32"/>
        </w:rPr>
        <w:t>最多的十</w:t>
      </w:r>
      <w:r w:rsidR="00D46261">
        <w:rPr>
          <w:rFonts w:ascii="仿宋_GB2312" w:eastAsia="仿宋_GB2312" w:hAnsi="宋体" w:hint="eastAsia"/>
          <w:sz w:val="32"/>
          <w:szCs w:val="32"/>
        </w:rPr>
        <w:t>位</w:t>
      </w:r>
      <w:r>
        <w:rPr>
          <w:rFonts w:ascii="仿宋_GB2312" w:eastAsia="仿宋_GB2312" w:hAnsi="宋体" w:hint="eastAsia"/>
          <w:sz w:val="32"/>
          <w:szCs w:val="32"/>
        </w:rPr>
        <w:t>同学</w:t>
      </w:r>
      <w:r w:rsidR="00D46261">
        <w:rPr>
          <w:rFonts w:ascii="仿宋_GB2312" w:eastAsia="仿宋_GB2312" w:hAnsi="宋体" w:hint="eastAsia"/>
          <w:sz w:val="32"/>
          <w:szCs w:val="32"/>
        </w:rPr>
        <w:t>授予</w:t>
      </w:r>
      <w:r>
        <w:rPr>
          <w:rFonts w:ascii="仿宋_GB2312" w:eastAsia="仿宋_GB2312" w:hAnsi="宋体" w:hint="eastAsia"/>
          <w:sz w:val="32"/>
          <w:szCs w:val="32"/>
        </w:rPr>
        <w:t>“</w:t>
      </w:r>
      <w:r w:rsidR="008D165E">
        <w:rPr>
          <w:rFonts w:ascii="仿宋_GB2312" w:eastAsia="仿宋_GB2312" w:hAnsi="宋体" w:hint="eastAsia"/>
          <w:sz w:val="32"/>
          <w:szCs w:val="32"/>
        </w:rPr>
        <w:t>阳光长跑运动达人</w:t>
      </w:r>
      <w:r>
        <w:rPr>
          <w:rFonts w:ascii="仿宋_GB2312" w:eastAsia="仿宋_GB2312" w:hAnsi="宋体" w:hint="eastAsia"/>
          <w:sz w:val="32"/>
          <w:szCs w:val="32"/>
        </w:rPr>
        <w:t>”荣誉称号</w:t>
      </w:r>
      <w:r w:rsidR="00D46261">
        <w:rPr>
          <w:rFonts w:ascii="仿宋_GB2312" w:eastAsia="仿宋_GB2312" w:hAnsi="宋体" w:hint="eastAsia"/>
          <w:sz w:val="32"/>
          <w:szCs w:val="32"/>
        </w:rPr>
        <w:t>，若有效次数相同，以有效里程为依据进行排名。</w:t>
      </w:r>
      <w:r w:rsidR="000D1F24">
        <w:rPr>
          <w:rFonts w:ascii="仿宋_GB2312" w:eastAsia="仿宋_GB2312" w:hAnsi="宋体" w:hint="eastAsia"/>
          <w:sz w:val="32"/>
          <w:szCs w:val="32"/>
        </w:rPr>
        <w:t>（此项奖励主要面对大三本科学生，可以与“阳光长跑每月之星”同时评比）</w:t>
      </w:r>
    </w:p>
    <w:p w:rsidR="00493CF0" w:rsidRPr="00AB18B0" w:rsidRDefault="00493CF0" w:rsidP="00493CF0">
      <w:pPr>
        <w:spacing w:line="560" w:lineRule="exact"/>
        <w:ind w:firstLineChars="200" w:firstLine="640"/>
        <w:rPr>
          <w:rFonts w:ascii="黑体" w:eastAsia="黑体" w:hAnsi="宋体"/>
          <w:sz w:val="32"/>
          <w:szCs w:val="32"/>
        </w:rPr>
      </w:pPr>
      <w:r w:rsidRPr="00AB18B0">
        <w:rPr>
          <w:rFonts w:ascii="黑体" w:eastAsia="黑体" w:hAnsi="宋体" w:hint="eastAsia"/>
          <w:sz w:val="32"/>
          <w:szCs w:val="32"/>
        </w:rPr>
        <w:t>四、“阳光长跑”违纪处理办法</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1.违纪界定：</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（1）找他人代跑、替他人跑步、非正常跑步者。</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（2）无故不参加跑步者。</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2.违纪处理</w:t>
      </w:r>
    </w:p>
    <w:p w:rsidR="00493CF0" w:rsidRPr="00537174" w:rsidRDefault="00493CF0" w:rsidP="00493CF0">
      <w:pPr>
        <w:spacing w:line="560" w:lineRule="exact"/>
        <w:ind w:firstLineChars="200" w:firstLine="640"/>
        <w:rPr>
          <w:rFonts w:ascii="仿宋_GB2312" w:eastAsia="仿宋_GB2312" w:hAnsi="宋体"/>
          <w:b/>
          <w:sz w:val="32"/>
          <w:szCs w:val="32"/>
        </w:rPr>
      </w:pPr>
      <w:r w:rsidRPr="00537174">
        <w:rPr>
          <w:rFonts w:ascii="仿宋_GB2312" w:eastAsia="仿宋_GB2312" w:hAnsi="宋体" w:hint="eastAsia"/>
          <w:b/>
          <w:sz w:val="32"/>
          <w:szCs w:val="32"/>
        </w:rPr>
        <w:t>（1）找他人代跑、替他人代跑等，由打卡监督员上报公共体育教学部，经部门审核在其“阳光长跑”成绩单上注明“作弊”，其成绩以零分记。</w:t>
      </w:r>
    </w:p>
    <w:p w:rsidR="00493CF0" w:rsidRPr="00537174" w:rsidRDefault="00493CF0" w:rsidP="00493CF0">
      <w:pPr>
        <w:spacing w:line="560" w:lineRule="exact"/>
        <w:ind w:firstLineChars="200" w:firstLine="640"/>
        <w:rPr>
          <w:rFonts w:ascii="仿宋_GB2312" w:eastAsia="仿宋_GB2312" w:hAnsi="宋体"/>
          <w:b/>
          <w:sz w:val="32"/>
          <w:szCs w:val="32"/>
        </w:rPr>
      </w:pPr>
      <w:r w:rsidRPr="00537174">
        <w:rPr>
          <w:rFonts w:ascii="仿宋_GB2312" w:eastAsia="仿宋_GB2312" w:hAnsi="宋体" w:hint="eastAsia"/>
          <w:b/>
          <w:sz w:val="32"/>
          <w:szCs w:val="32"/>
        </w:rPr>
        <w:lastRenderedPageBreak/>
        <w:t>（2）各学院应根据成绩单，取消作弊学生今后的奖学金和各种评优资格；并根据作弊情节，比照学生学籍管理规定中关于作弊处理的相关条款，给予处分。</w:t>
      </w:r>
    </w:p>
    <w:p w:rsidR="00493CF0" w:rsidRPr="00AB18B0" w:rsidRDefault="00493CF0" w:rsidP="00493CF0">
      <w:pPr>
        <w:spacing w:line="560" w:lineRule="exact"/>
        <w:ind w:firstLineChars="200" w:firstLine="640"/>
        <w:rPr>
          <w:rFonts w:ascii="黑体" w:eastAsia="黑体" w:hAnsi="宋体"/>
          <w:sz w:val="32"/>
          <w:szCs w:val="32"/>
        </w:rPr>
      </w:pPr>
      <w:r w:rsidRPr="00AB18B0">
        <w:rPr>
          <w:rFonts w:ascii="黑体" w:eastAsia="黑体" w:hAnsi="宋体" w:hint="eastAsia"/>
          <w:sz w:val="32"/>
          <w:szCs w:val="32"/>
        </w:rPr>
        <w:t>五、因病或残疾学生</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因病或残疾学生，可</w:t>
      </w:r>
      <w:r>
        <w:rPr>
          <w:rFonts w:ascii="仿宋_GB2312" w:eastAsia="仿宋_GB2312" w:hAnsi="宋体" w:hint="eastAsia"/>
          <w:sz w:val="32"/>
          <w:szCs w:val="32"/>
        </w:rPr>
        <w:t>填写《</w:t>
      </w:r>
      <w:r w:rsidRPr="00AB18B0">
        <w:rPr>
          <w:rFonts w:ascii="仿宋_GB2312" w:eastAsia="仿宋_GB2312" w:hAnsi="宋体" w:hint="eastAsia"/>
          <w:sz w:val="32"/>
          <w:szCs w:val="32"/>
        </w:rPr>
        <w:t>阳光长跑</w:t>
      </w:r>
      <w:r>
        <w:rPr>
          <w:rFonts w:ascii="仿宋_GB2312" w:eastAsia="仿宋_GB2312" w:hAnsi="宋体" w:hint="eastAsia"/>
          <w:sz w:val="32"/>
          <w:szCs w:val="32"/>
        </w:rPr>
        <w:t>免跑申请表</w:t>
      </w:r>
      <w:r w:rsidRPr="00AB18B0">
        <w:rPr>
          <w:rFonts w:ascii="仿宋_GB2312" w:eastAsia="仿宋_GB2312" w:hAnsi="宋体" w:hint="eastAsia"/>
          <w:sz w:val="32"/>
          <w:szCs w:val="32"/>
        </w:rPr>
        <w:t>》，同时提供残疾证复印件或县级以上医院诊断证明，</w:t>
      </w:r>
      <w:r>
        <w:rPr>
          <w:rFonts w:ascii="仿宋_GB2312" w:eastAsia="仿宋_GB2312" w:hAnsi="宋体" w:hint="eastAsia"/>
          <w:sz w:val="32"/>
          <w:szCs w:val="32"/>
        </w:rPr>
        <w:t>经所在学院学生工作办公室盖章，上交至公共体育教学部</w:t>
      </w:r>
      <w:r w:rsidRPr="00AB18B0">
        <w:rPr>
          <w:rFonts w:ascii="仿宋_GB2312" w:eastAsia="仿宋_GB2312" w:hAnsi="宋体" w:hint="eastAsia"/>
          <w:sz w:val="32"/>
          <w:szCs w:val="32"/>
        </w:rPr>
        <w:t>，可免于执行。确实丧失运动能力、免于执行《阳光长跑》的残疾学生，仍可参加三好学生、奖学金评选。《阳光长跑》成绩记为及格，体育课该项成绩为60分。</w:t>
      </w:r>
    </w:p>
    <w:p w:rsidR="00493CF0" w:rsidRPr="00AB18B0" w:rsidRDefault="00493CF0" w:rsidP="00493CF0">
      <w:pPr>
        <w:spacing w:line="560" w:lineRule="exact"/>
        <w:ind w:firstLineChars="200" w:firstLine="640"/>
        <w:rPr>
          <w:rFonts w:ascii="黑体" w:eastAsia="黑体" w:hAnsi="宋体"/>
          <w:sz w:val="32"/>
          <w:szCs w:val="32"/>
        </w:rPr>
      </w:pPr>
      <w:r w:rsidRPr="00AB18B0">
        <w:rPr>
          <w:rFonts w:ascii="黑体" w:eastAsia="黑体" w:hAnsi="宋体" w:hint="eastAsia"/>
          <w:sz w:val="32"/>
          <w:szCs w:val="32"/>
        </w:rPr>
        <w:t>六、实施“阳光长跑”的职责分工</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在分管校长的领导下，学校公共体育教学部负责具体工作，教务处、学生处、各二级学院（辅导员或班主任）等协同配合共同组织实施。</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1.教务处负责学籍管理；</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2.公共体育教学部负责“阳光长跑”的组织实施；成绩评定、统计、分析；特殊学生的缓测、免测审批；对旷跑舞弊学生进行批评教育，通知该学生所在二级学院，向学校教务处提出处理意见；</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2.监卡人员职责：各打卡点值班人员不许串岗、顶岗、缺岗、迟到、早退、玩手机等行为，一旦发现，将报公共体育教学部提出处理意见。</w:t>
      </w:r>
    </w:p>
    <w:p w:rsidR="00493CF0" w:rsidRPr="00AB18B0" w:rsidRDefault="00493CF0" w:rsidP="00493CF0">
      <w:pPr>
        <w:spacing w:line="560" w:lineRule="exact"/>
        <w:ind w:firstLineChars="200" w:firstLine="640"/>
        <w:rPr>
          <w:rFonts w:ascii="黑体" w:eastAsia="黑体" w:hAnsi="宋体" w:cs="Arial"/>
          <w:kern w:val="0"/>
          <w:sz w:val="32"/>
          <w:szCs w:val="32"/>
        </w:rPr>
      </w:pPr>
      <w:r w:rsidRPr="00AB18B0">
        <w:rPr>
          <w:rFonts w:ascii="黑体" w:eastAsia="黑体" w:hAnsi="宋体" w:cs="Arial" w:hint="eastAsia"/>
          <w:kern w:val="0"/>
          <w:sz w:val="32"/>
          <w:szCs w:val="32"/>
        </w:rPr>
        <w:lastRenderedPageBreak/>
        <w:t>七、注意事项:</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1．学生第一次“阳光长跑”开始前,请确认一卡通是否激活，如未激活，请先到体育馆大厅激活一卡通，否则无法记录成绩。请务必保管好一卡通，如有遗失，补办后需重新激活方可使用。</w:t>
      </w:r>
    </w:p>
    <w:p w:rsidR="00493CF0" w:rsidRPr="00AB18B0" w:rsidRDefault="00493CF0" w:rsidP="00493CF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Pr="00AB18B0">
        <w:rPr>
          <w:rFonts w:ascii="仿宋_GB2312" w:eastAsia="仿宋_GB2312" w:hAnsi="宋体" w:hint="eastAsia"/>
          <w:sz w:val="32"/>
          <w:szCs w:val="32"/>
        </w:rPr>
        <w:t>“阳光长跑”成绩查询网站：http://172.17.28.100:8080/账号、初始密码为本人卡号，进入系统请更改自己的初始密码。</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3.如遇问题，可致电公体部。</w:t>
      </w:r>
      <w:r w:rsidRPr="00493CF0">
        <w:rPr>
          <w:rFonts w:ascii="仿宋_GB2312" w:eastAsia="仿宋_GB2312" w:hAnsi="宋体" w:hint="eastAsia"/>
          <w:sz w:val="32"/>
          <w:szCs w:val="32"/>
        </w:rPr>
        <w:t>电话：8025562</w:t>
      </w:r>
    </w:p>
    <w:p w:rsidR="00493CF0" w:rsidRPr="00AB18B0" w:rsidRDefault="00493CF0" w:rsidP="00493CF0">
      <w:pPr>
        <w:spacing w:line="560" w:lineRule="exact"/>
        <w:ind w:firstLineChars="200" w:firstLine="640"/>
        <w:rPr>
          <w:rFonts w:ascii="黑体" w:eastAsia="黑体" w:hAnsi="宋体"/>
          <w:sz w:val="32"/>
          <w:szCs w:val="32"/>
        </w:rPr>
      </w:pPr>
      <w:r w:rsidRPr="00AB18B0">
        <w:rPr>
          <w:rFonts w:ascii="黑体" w:eastAsia="黑体" w:hAnsi="宋体" w:hint="eastAsia"/>
          <w:sz w:val="32"/>
          <w:szCs w:val="32"/>
        </w:rPr>
        <w:t>八、附则</w:t>
      </w:r>
    </w:p>
    <w:p w:rsidR="00493CF0" w:rsidRPr="00AB18B0" w:rsidRDefault="00493CF0" w:rsidP="00493CF0">
      <w:pPr>
        <w:spacing w:line="560" w:lineRule="exact"/>
        <w:ind w:firstLineChars="200" w:firstLine="640"/>
        <w:rPr>
          <w:rFonts w:ascii="仿宋_GB2312" w:eastAsia="仿宋_GB2312" w:hAnsi="宋体"/>
          <w:sz w:val="32"/>
          <w:szCs w:val="32"/>
        </w:rPr>
      </w:pPr>
      <w:r w:rsidRPr="00AB18B0">
        <w:rPr>
          <w:rFonts w:ascii="仿宋_GB2312" w:eastAsia="仿宋_GB2312" w:hAnsi="宋体" w:hint="eastAsia"/>
          <w:sz w:val="32"/>
          <w:szCs w:val="32"/>
        </w:rPr>
        <w:t>本细则由公共体育教学部负责解释。</w:t>
      </w:r>
    </w:p>
    <w:p w:rsidR="00493CF0" w:rsidRPr="00AB18B0" w:rsidRDefault="00493CF0" w:rsidP="00493CF0">
      <w:pPr>
        <w:spacing w:line="560" w:lineRule="exact"/>
        <w:ind w:firstLineChars="200" w:firstLine="640"/>
        <w:rPr>
          <w:rFonts w:ascii="仿宋_GB2312" w:eastAsia="仿宋_GB2312" w:hAnsi="宋体"/>
          <w:sz w:val="32"/>
          <w:szCs w:val="32"/>
        </w:rPr>
      </w:pPr>
    </w:p>
    <w:p w:rsidR="00493CF0" w:rsidRPr="00AB18B0" w:rsidRDefault="00493CF0" w:rsidP="00493CF0">
      <w:pPr>
        <w:topLinePunct/>
        <w:spacing w:line="560" w:lineRule="exact"/>
        <w:rPr>
          <w:rFonts w:ascii="仿宋_GB2312" w:eastAsia="仿宋_GB2312"/>
          <w:sz w:val="32"/>
          <w:szCs w:val="32"/>
        </w:rPr>
      </w:pPr>
    </w:p>
    <w:p w:rsidR="00493CF0" w:rsidRDefault="00493CF0" w:rsidP="00493CF0">
      <w:pPr>
        <w:topLinePunct/>
        <w:spacing w:line="560" w:lineRule="exact"/>
        <w:rPr>
          <w:rFonts w:ascii="黑体" w:eastAsia="黑体"/>
          <w:sz w:val="32"/>
          <w:szCs w:val="32"/>
        </w:rPr>
      </w:pPr>
    </w:p>
    <w:p w:rsidR="00493CF0" w:rsidRDefault="00493CF0" w:rsidP="00493CF0">
      <w:pPr>
        <w:topLinePunct/>
        <w:spacing w:line="560" w:lineRule="exact"/>
        <w:rPr>
          <w:rFonts w:ascii="黑体" w:eastAsia="黑体"/>
          <w:sz w:val="32"/>
          <w:szCs w:val="32"/>
        </w:rPr>
      </w:pPr>
    </w:p>
    <w:p w:rsidR="00493CF0" w:rsidRDefault="00493CF0" w:rsidP="00493CF0">
      <w:pPr>
        <w:topLinePunct/>
        <w:spacing w:line="560" w:lineRule="exact"/>
        <w:rPr>
          <w:rFonts w:ascii="黑体" w:eastAsia="黑体"/>
          <w:sz w:val="32"/>
          <w:szCs w:val="32"/>
        </w:rPr>
      </w:pPr>
    </w:p>
    <w:p w:rsidR="00493CF0" w:rsidRDefault="00493CF0" w:rsidP="00493CF0">
      <w:pPr>
        <w:topLinePunct/>
        <w:spacing w:line="560" w:lineRule="exact"/>
        <w:rPr>
          <w:rFonts w:ascii="黑体" w:eastAsia="黑体"/>
          <w:sz w:val="32"/>
          <w:szCs w:val="32"/>
        </w:rPr>
      </w:pPr>
    </w:p>
    <w:p w:rsidR="00493CF0" w:rsidRDefault="00493CF0" w:rsidP="00493CF0">
      <w:pPr>
        <w:topLinePunct/>
        <w:spacing w:line="560" w:lineRule="exact"/>
        <w:rPr>
          <w:rFonts w:ascii="黑体" w:eastAsia="黑体"/>
          <w:sz w:val="32"/>
          <w:szCs w:val="32"/>
        </w:rPr>
      </w:pPr>
    </w:p>
    <w:p w:rsidR="00493CF0" w:rsidRDefault="00493CF0" w:rsidP="00493CF0">
      <w:pPr>
        <w:topLinePunct/>
        <w:spacing w:line="560" w:lineRule="exact"/>
        <w:rPr>
          <w:rFonts w:ascii="黑体" w:eastAsia="黑体"/>
          <w:sz w:val="32"/>
          <w:szCs w:val="32"/>
        </w:rPr>
      </w:pPr>
    </w:p>
    <w:p w:rsidR="00493CF0" w:rsidRDefault="00493CF0" w:rsidP="00493CF0">
      <w:pPr>
        <w:topLinePunct/>
        <w:spacing w:line="560" w:lineRule="exact"/>
        <w:rPr>
          <w:rFonts w:ascii="黑体" w:eastAsia="黑体"/>
          <w:sz w:val="32"/>
          <w:szCs w:val="32"/>
        </w:rPr>
      </w:pPr>
    </w:p>
    <w:p w:rsidR="00640F43" w:rsidRDefault="00640F43" w:rsidP="00493CF0">
      <w:pPr>
        <w:topLinePunct/>
        <w:spacing w:line="560" w:lineRule="exact"/>
        <w:rPr>
          <w:rFonts w:ascii="黑体" w:eastAsia="黑体"/>
          <w:sz w:val="32"/>
          <w:szCs w:val="32"/>
        </w:rPr>
      </w:pPr>
    </w:p>
    <w:p w:rsidR="002F1994" w:rsidRDefault="002F1994" w:rsidP="00493CF0">
      <w:pPr>
        <w:topLinePunct/>
        <w:spacing w:line="560" w:lineRule="exact"/>
        <w:rPr>
          <w:rFonts w:ascii="黑体" w:eastAsia="黑体"/>
          <w:sz w:val="32"/>
          <w:szCs w:val="32"/>
        </w:rPr>
      </w:pPr>
    </w:p>
    <w:sectPr w:rsidR="002F1994" w:rsidSect="005C7742">
      <w:headerReference w:type="even" r:id="rId6"/>
      <w:headerReference w:type="default" r:id="rId7"/>
      <w:footerReference w:type="even" r:id="rId8"/>
      <w:footerReference w:type="default" r:id="rId9"/>
      <w:headerReference w:type="first" r:id="rId10"/>
      <w:footerReference w:type="first" r:id="rId11"/>
      <w:pgSz w:w="11906" w:h="16838"/>
      <w:pgMar w:top="2098" w:right="1531" w:bottom="2098" w:left="1531" w:header="851" w:footer="1701"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00A" w:rsidRDefault="003D000A" w:rsidP="005C7742">
      <w:r>
        <w:separator/>
      </w:r>
    </w:p>
  </w:endnote>
  <w:endnote w:type="continuationSeparator" w:id="0">
    <w:p w:rsidR="003D000A" w:rsidRDefault="003D000A" w:rsidP="005C77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19" w:rsidRDefault="00AE5CBB">
    <w:pPr>
      <w:pStyle w:val="a5"/>
      <w:framePr w:wrap="around" w:vAnchor="text" w:hAnchor="margin" w:xAlign="outside" w:y="1"/>
      <w:ind w:leftChars="100" w:left="210"/>
      <w:rPr>
        <w:rStyle w:val="a3"/>
        <w:rFonts w:ascii="宋体" w:hAnsi="宋体"/>
        <w:sz w:val="28"/>
        <w:szCs w:val="28"/>
      </w:rPr>
    </w:pPr>
    <w:r>
      <w:rPr>
        <w:rFonts w:ascii="宋体" w:hAnsi="宋体"/>
        <w:sz w:val="28"/>
        <w:szCs w:val="28"/>
      </w:rPr>
      <w:fldChar w:fldCharType="begin"/>
    </w:r>
    <w:r w:rsidR="00F74AF6">
      <w:rPr>
        <w:rStyle w:val="a3"/>
        <w:rFonts w:ascii="宋体" w:hAnsi="宋体"/>
        <w:sz w:val="28"/>
        <w:szCs w:val="28"/>
      </w:rPr>
      <w:instrText xml:space="preserve">PAGE  </w:instrText>
    </w:r>
    <w:r>
      <w:rPr>
        <w:rFonts w:ascii="宋体" w:hAnsi="宋体"/>
        <w:sz w:val="28"/>
        <w:szCs w:val="28"/>
      </w:rPr>
      <w:fldChar w:fldCharType="separate"/>
    </w:r>
    <w:r w:rsidR="00F74AF6">
      <w:rPr>
        <w:rStyle w:val="a3"/>
        <w:rFonts w:ascii="宋体" w:hAnsi="宋体"/>
        <w:noProof/>
        <w:sz w:val="28"/>
        <w:szCs w:val="28"/>
      </w:rPr>
      <w:t>- 4 -</w:t>
    </w:r>
    <w:r>
      <w:rPr>
        <w:rFonts w:ascii="宋体" w:hAnsi="宋体"/>
        <w:sz w:val="28"/>
        <w:szCs w:val="28"/>
      </w:rPr>
      <w:fldChar w:fldCharType="end"/>
    </w:r>
  </w:p>
  <w:p w:rsidR="00876219" w:rsidRDefault="003D000A">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19" w:rsidRDefault="00AE5CBB">
    <w:pPr>
      <w:pStyle w:val="a5"/>
      <w:framePr w:wrap="around" w:vAnchor="text" w:hAnchor="margin" w:xAlign="outside" w:y="1"/>
      <w:ind w:rightChars="100" w:right="210"/>
      <w:rPr>
        <w:rStyle w:val="a3"/>
        <w:rFonts w:ascii="宋体" w:hAnsi="宋体"/>
        <w:sz w:val="28"/>
        <w:szCs w:val="28"/>
      </w:rPr>
    </w:pPr>
    <w:r>
      <w:rPr>
        <w:rFonts w:ascii="宋体" w:hAnsi="宋体"/>
        <w:sz w:val="28"/>
        <w:szCs w:val="28"/>
      </w:rPr>
      <w:fldChar w:fldCharType="begin"/>
    </w:r>
    <w:r w:rsidR="00F74AF6">
      <w:rPr>
        <w:rStyle w:val="a3"/>
        <w:rFonts w:ascii="宋体" w:hAnsi="宋体"/>
        <w:sz w:val="28"/>
        <w:szCs w:val="28"/>
      </w:rPr>
      <w:instrText xml:space="preserve">PAGE  </w:instrText>
    </w:r>
    <w:r>
      <w:rPr>
        <w:rFonts w:ascii="宋体" w:hAnsi="宋体"/>
        <w:sz w:val="28"/>
        <w:szCs w:val="28"/>
      </w:rPr>
      <w:fldChar w:fldCharType="separate"/>
    </w:r>
    <w:r w:rsidR="006F160B">
      <w:rPr>
        <w:rStyle w:val="a3"/>
        <w:rFonts w:ascii="宋体" w:hAnsi="宋体"/>
        <w:noProof/>
        <w:sz w:val="28"/>
        <w:szCs w:val="28"/>
      </w:rPr>
      <w:t>- 5 -</w:t>
    </w:r>
    <w:r>
      <w:rPr>
        <w:rFonts w:ascii="宋体" w:hAnsi="宋体"/>
        <w:sz w:val="28"/>
        <w:szCs w:val="28"/>
      </w:rPr>
      <w:fldChar w:fldCharType="end"/>
    </w:r>
  </w:p>
  <w:p w:rsidR="00876219" w:rsidRDefault="003D000A">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43" w:rsidRDefault="00640F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00A" w:rsidRDefault="003D000A" w:rsidP="005C7742">
      <w:r>
        <w:separator/>
      </w:r>
    </w:p>
  </w:footnote>
  <w:footnote w:type="continuationSeparator" w:id="0">
    <w:p w:rsidR="003D000A" w:rsidRDefault="003D000A" w:rsidP="005C7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43" w:rsidRDefault="00640F4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19" w:rsidRDefault="003D000A">
    <w:pPr>
      <w:pStyle w:val="a4"/>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43" w:rsidRDefault="00640F4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3CF0"/>
    <w:rsid w:val="0004628B"/>
    <w:rsid w:val="000D1F24"/>
    <w:rsid w:val="00141D7D"/>
    <w:rsid w:val="002F1994"/>
    <w:rsid w:val="003D000A"/>
    <w:rsid w:val="00493CF0"/>
    <w:rsid w:val="00503474"/>
    <w:rsid w:val="00571FAB"/>
    <w:rsid w:val="005C7742"/>
    <w:rsid w:val="00640F43"/>
    <w:rsid w:val="006F160B"/>
    <w:rsid w:val="00755133"/>
    <w:rsid w:val="007D1454"/>
    <w:rsid w:val="008D165E"/>
    <w:rsid w:val="009A4572"/>
    <w:rsid w:val="009D6399"/>
    <w:rsid w:val="00AE5CBB"/>
    <w:rsid w:val="00B14A31"/>
    <w:rsid w:val="00B24A89"/>
    <w:rsid w:val="00D46261"/>
    <w:rsid w:val="00F6396B"/>
    <w:rsid w:val="00F74A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line="4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CF0"/>
    <w:pPr>
      <w:widowControl w:val="0"/>
      <w:spacing w:beforeLines="0"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93CF0"/>
  </w:style>
  <w:style w:type="paragraph" w:styleId="a4">
    <w:name w:val="header"/>
    <w:basedOn w:val="a"/>
    <w:link w:val="Char"/>
    <w:rsid w:val="00493C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93CF0"/>
    <w:rPr>
      <w:rFonts w:ascii="Times New Roman" w:eastAsia="宋体" w:hAnsi="Times New Roman" w:cs="Times New Roman"/>
      <w:sz w:val="18"/>
      <w:szCs w:val="18"/>
    </w:rPr>
  </w:style>
  <w:style w:type="paragraph" w:styleId="a5">
    <w:name w:val="footer"/>
    <w:basedOn w:val="a"/>
    <w:link w:val="Char0"/>
    <w:rsid w:val="00493CF0"/>
    <w:pPr>
      <w:tabs>
        <w:tab w:val="center" w:pos="4153"/>
        <w:tab w:val="right" w:pos="8306"/>
      </w:tabs>
      <w:snapToGrid w:val="0"/>
      <w:jc w:val="left"/>
    </w:pPr>
    <w:rPr>
      <w:sz w:val="18"/>
      <w:szCs w:val="18"/>
    </w:rPr>
  </w:style>
  <w:style w:type="character" w:customStyle="1" w:styleId="Char0">
    <w:name w:val="页脚 Char"/>
    <w:basedOn w:val="a0"/>
    <w:link w:val="a5"/>
    <w:rsid w:val="00493CF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毛圣力</dc:creator>
  <cp:lastModifiedBy>毛圣力</cp:lastModifiedBy>
  <cp:revision>11</cp:revision>
  <dcterms:created xsi:type="dcterms:W3CDTF">2016-06-21T08:29:00Z</dcterms:created>
  <dcterms:modified xsi:type="dcterms:W3CDTF">2016-06-22T01:51:00Z</dcterms:modified>
</cp:coreProperties>
</file>